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الفاخري
</w:t>
      </w:r>
    </w:p>
    <w:p>
      <w:pPr>
        <w:jc w:val="start"/>
        <w:bidi/>
      </w:pPr>
      <w:r>
        <w:rPr>
          <w:rFonts w:ascii="arial" w:hAnsi="arial" w:eastAsia="arial" w:cs="arial"/>
          <w:sz w:val="28"/>
          <w:szCs w:val="28"/>
          <w:b w:val="1"/>
          <w:bCs w:val="1"/>
          <w:rtl/>
        </w:rPr>
        <w:t xml:space="preserve">الفاخري
</w:t>
      </w:r>
    </w:p>
    <w:p>
      <w:pPr/>
      <w:r>
        <w:rPr/>
        <w:t xml:space="preserve">الفاخري  محمد بن عمر بن حسن الفاخري، نسبة إلى جده فاخر، الوهيبي التميمي النجدي : مؤرخ. ولد ونشأ في بلدة (التويم) من إقليم سدير، بنجد. وأقام نحو سبع سنوات في الاحساء ثم استوطن بلدة (حرمة) وتوفي بها. عني بتقييد بعض الوقائع التاريخية بنجد إلى سنة وفاته. وأسلوبه عامي، يوجز حتى يخل. وقام ابن له اسمه عبد الله، بإكمال الكتاب إلى سنة 1288 وهو مخطوط في أقل من 100 صفحة ناقص الاول، في خزانة جامعة الرياض، اقتنيت تصويره. </w:t>
      </w:r>
    </w:p>
    <w:p>
      <w:pPr>
        <w:jc w:val="start"/>
        <w:bidi/>
      </w:pPr>
      <w:r>
        <w:rPr>
          <w:sz w:val="24"/>
          <w:szCs w:val="24"/>
          <w:b w:val="1"/>
          <w:bCs w:val="1"/>
          <w:rtl/>
        </w:rPr>
        <w:t xml:space="preserve">
الأعلام،(دار العلم للملايين - بيروت،2002،ط 15،ج 6،ص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2026-05-18T12:27:01+03:00</dcterms:created>
  <dcterms:modified xsi:type="dcterms:W3CDTF">2026-05-18T12:27:01+03:00</dcterms:modified>
</cp:coreProperties>
</file>

<file path=docProps/custom.xml><?xml version="1.0" encoding="utf-8"?>
<Properties xmlns="http://schemas.openxmlformats.org/officeDocument/2006/custom-properties" xmlns:vt="http://schemas.openxmlformats.org/officeDocument/2006/docPropsVTypes"/>
</file>