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الغمري
</w:t>
      </w:r>
    </w:p>
    <w:p>
      <w:pPr>
        <w:jc w:val="start"/>
        <w:bidi/>
      </w:pPr>
      <w:r>
        <w:rPr>
          <w:rFonts w:ascii="arial" w:hAnsi="arial" w:eastAsia="arial" w:cs="arial"/>
          <w:sz w:val="28"/>
          <w:szCs w:val="28"/>
          <w:b w:val="1"/>
          <w:bCs w:val="1"/>
          <w:rtl/>
        </w:rPr>
        <w:t xml:space="preserve">الغمري
</w:t>
      </w:r>
    </w:p>
    <w:p>
      <w:pPr/>
      <w:r>
        <w:rPr/>
        <w:t xml:space="preserve">الغمري  محمد بن عمر بن احمد، ابو عبد الله، شمس الدين، الواسطي الغمري المحلي، ويعرف بالغمري: صالح، من فقهاء الشافعية. اصله من واسط، ومولده بمنية غمر (بمصر) واليها نسبته. نشأ فقيرا يعيش من كسب يده. وتعلم بالازهر. واقام بالمحلة، وانقطع للدرس والعبادة، وكثر مريدوه. وابتنى بالقاهرة جامعا، وجدد عدة جوامع. وتوفي بالمحلة. له كتب، منها (النصرة في احكام الفطرة) و (محاسن الخصال في بيان وجوه الحلال) و (العنوان في تحريم معاشرة الشبان والنسوان) و (قواعد الصوفية -خ) و (منح المنة في التلبس بالسنة) اربع مجلدات، و (نور الاقتبا فيما يعرض من ظلم الواسواس -خ) و (جواهر الاسرار في معرفة الاحجار -خ). </w:t>
      </w:r>
    </w:p>
    <w:p>
      <w:pPr>
        <w:jc w:val="start"/>
        <w:bidi/>
      </w:pPr>
      <w:r>
        <w:rPr>
          <w:sz w:val="24"/>
          <w:szCs w:val="24"/>
          <w:b w:val="1"/>
          <w:bCs w:val="1"/>
          <w:rtl/>
        </w:rPr>
        <w:t xml:space="preserve">
الأعلام،(دار العلم للملايين - بيروت،2002،ط 15،ج 6،ص 315)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2026-05-18T12:30:54+03:00</dcterms:created>
  <dcterms:modified xsi:type="dcterms:W3CDTF">2026-05-18T12:30:54+03:00</dcterms:modified>
</cp:coreProperties>
</file>

<file path=docProps/custom.xml><?xml version="1.0" encoding="utf-8"?>
<Properties xmlns="http://schemas.openxmlformats.org/officeDocument/2006/custom-properties" xmlns:vt="http://schemas.openxmlformats.org/officeDocument/2006/docPropsVTypes"/>
</file>