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الغزنوي
</w:t>
      </w:r>
    </w:p>
    <w:p>
      <w:pPr/>
      <w:r>
        <w:rPr/>
        <w:t xml:space="preserve">الغزنوي  أحمد بن محمد (محمود؟) بن سعيد الغرنوي: اصولي فقيه، مات في حلب، من كتبه (الروضة في اختلاف العلماء) و (المقدمة المختصرة) في الفقه، و (روضة المتكلمين في اصول الدين).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الغزنوي
</w:t>
      </w:r>
    </w:p>
    <w:p>
      <w:pPr/>
      <w:r>
        <w:rPr/>
        <w:t xml:space="preserve">الغزنوي  أحمد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2026-07-04T07:12:11+03:00</dcterms:created>
  <dcterms:modified xsi:type="dcterms:W3CDTF">2026-07-04T07:12:11+03:00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