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الأردبيلي
</w:t>
      </w:r>
    </w:p>
    <w:p>
      <w:pPr>
        <w:jc w:val="start"/>
        <w:bidi/>
      </w:pPr>
      <w:r>
        <w:rPr>
          <w:rFonts w:ascii="arial" w:hAnsi="arial" w:eastAsia="arial" w:cs="arial"/>
          <w:sz w:val="28"/>
          <w:szCs w:val="28"/>
          <w:b w:val="1"/>
          <w:bCs w:val="1"/>
          <w:rtl/>
        </w:rPr>
        <w:t xml:space="preserve">الأردبيلي
</w:t>
      </w:r>
    </w:p>
    <w:p>
      <w:pPr/>
      <w:r>
        <w:rPr/>
        <w:t xml:space="preserve">الأردبيلي  محمد بن علي الاردبيلي الغروي الحائري : عالم بالتراجم. إمامي، من أهل (أردبيل) بإيران. أقام مدة في أصفهان. وأخذ عن المجلسي وقرأ عليه. وأجازه المجلسي سنة 1098 ه‍. له (جامع الرواة - خ) بخطه في طهران، كتبه سنة 1100 مجلد كبير، في التراجم، رتب فيه أسماء الرواة وأسماء آبائهم على الحروف، وبعد تمام حرف الياء ذكر الكنى مرتبة، ثم الالقاب كذلك. وختمه بعشر فوائد أشار في الثامنة منها إلى كتاب آخر له سماه (تصحيح الاسانيد) طبعت خلاصة منه في آخر المجلد الثالث من كتاب (الرجال) للمامقاني. </w:t>
      </w:r>
    </w:p>
    <w:p>
      <w:pPr>
        <w:jc w:val="start"/>
        <w:bidi/>
      </w:pPr>
      <w:r>
        <w:rPr>
          <w:sz w:val="24"/>
          <w:szCs w:val="24"/>
          <w:b w:val="1"/>
          <w:bCs w:val="1"/>
          <w:rtl/>
        </w:rPr>
        <w:t xml:space="preserve">
الأعلام،(دار العلم للملايين - بيروت،2002،ط 15،ج 6،ص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2026-05-18T15:24:19+03:00</dcterms:created>
  <dcterms:modified xsi:type="dcterms:W3CDTF">2026-05-18T15:24:19+03:00</dcterms:modified>
</cp:coreProperties>
</file>

<file path=docProps/custom.xml><?xml version="1.0" encoding="utf-8"?>
<Properties xmlns="http://schemas.openxmlformats.org/officeDocument/2006/custom-properties" xmlns:vt="http://schemas.openxmlformats.org/officeDocument/2006/docPropsVTypes"/>
</file>