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حميد
</w:t>
      </w:r>
    </w:p>
    <w:p>
      <w:pPr/>
      <w:r>
        <w:rPr/>
        <w:t xml:space="preserve">ابن حميد  محمد بن علي بن أحمد بن خلف، ابو الطيب، محب الدين المحلي الشافعي، المعروف بابن حميد، ويقال له ابن ودن: فاضل مصري. ولد ونشأ بالمحلة. وسافر إلى الشام فاخذ عن علمائها. وتوفي بمكة. من كتبه (النجمة الزاهرة والنزهة الفاخرة في نظام السلطنة وسلوك طريق الاخرة) و (قرة عين الرواي في كرامات محمد بن صصالح الدمراوي) و (محاسن النظام من جواهر الكلام في ذكر الملك العلام -خ) و (البرق اللامع في ضبط الفاظ جمع الجوامع)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2026-05-18T17:30:50+03:00</dcterms:created>
  <dcterms:modified xsi:type="dcterms:W3CDTF">2026-05-18T17:30:50+03:00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