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القصاب
</w:t>
      </w:r>
    </w:p>
    <w:p>
      <w:pPr>
        <w:jc w:val="start"/>
        <w:bidi/>
      </w:pPr>
      <w:r>
        <w:rPr>
          <w:rFonts w:ascii="arial" w:hAnsi="arial" w:eastAsia="arial" w:cs="arial"/>
          <w:sz w:val="28"/>
          <w:szCs w:val="28"/>
          <w:b w:val="1"/>
          <w:bCs w:val="1"/>
          <w:rtl/>
        </w:rPr>
        <w:t xml:space="preserve">ابن القصاب
</w:t>
      </w:r>
    </w:p>
    <w:p>
      <w:pPr/>
      <w:r>
        <w:rPr/>
        <w:t xml:space="preserve">ابن القصاب  محمد بن علي بن أحمد بن المبارك، ابو الفضل، مؤيد الدين، ابن القصاب: وزير عصامي من الكتاب ذوي الرأي. استقدم سنة 584 من شيراز إلى بغداد، فولي ديوان الانشاء، وتقدم إلى ان درت اليه الدواوين كلها. ثم خلع عليه بالوزارة (سنة 590) وانتدب لاصلاح خلل طرأ على بلاد خورستان وتستر، فخرج متنقلا متفقدا، فما وافى بلدا الا جاءه اهلها طائعين، فتسلهل واقام بها من الامراء من رآه اهلا للعمل. ثم توجه إلى همذان، فتوفي على بابها. وكان ابوه قصابا بسوق الثلاثاء (المسماة اليوم سوق الحيدخانة) ببغداد. قال ابن قاضي شهبة: لما مات اخفى موته، ثم ظهر الامر ونبشه خوارزمشاه وحز رأسه وطاف به في بلاد خراسان.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محمد بن علي بن أحمد بن المبارك الوزير مؤيد الدين أبو الفضل ابن القصاب البغداذي
</w:t>
      </w:r>
    </w:p>
    <w:p>
      <w:pPr/>
      <w:r>
        <w:rPr/>
        <w:t xml:space="preserve">ابن القصاب الوزير محمد بن علي بن أحمد بن المبارك الوزير مؤيد الدين أبو الفضل ابن القصاب البغداذي كان ذا رأي وشهامة وحزم وغور بعيد وهمة عالية، كان أديبا شاعرا ولي كتابة الإنشاء مدة ثم ناب في وزارة الخلافة وسار بعسكر الخليفة وفتح همذان وأصبهان وحاصر الري ومتن وصارت له هيبة في النفوس، فلما عاد ولي الوزارة ثم خرج بالجيوش إلى همذان فتوفي بظاهرها، وقرأ العربية على أبي السعادات ابن الشجري، وكانت وفاته سنة اثنتين وتسعين وخمس مائة.</w:t>
      </w:r>
    </w:p>
    <w:p/>
    <w:p>
      <w:pPr/>
      <w:r>
        <w:rPr/>
        <w:t xml:space="preserve">ومن شعره قوله في ولد يرثيه:</w:t>
      </w:r>
    </w:p>
    <w:p/>
    <w:p>
      <w:pPr>
        <w:jc w:val="center"/>
      </w:pPr>
      <w:r>
        <w:rPr>
          <w:color w:val="ff0000"/>
        </w:rPr>
        <w:t xml:space="preserve">وإذا ذكرتك والذي فعل البلى</w:t>
      </w:r>
      <w:r>
        <w:rPr>
          <w:color w:val="ff0000"/>
        </w:rPr>
        <w:t xml:space="preserve">      </w:t>
      </w:r>
      <w:r>
        <w:rPr>
          <w:color w:val="ff0000"/>
        </w:rPr>
        <w:t xml:space="preserve">بجمال وجهك جاء ما لا يدفع</w:t>
      </w:r>
    </w:p>
    <w:p/>
    <w:p>
      <w:pPr/>
      <w:r>
        <w:rPr/>
        <w:t xml:space="preserve">قال يوما: أحسن ما قيل في الرأي قول ابن حيوس:</w:t>
      </w:r>
    </w:p>
    <w:p/>
    <w:p>
      <w:pPr>
        <w:jc w:val="center"/>
      </w:pPr>
      <w:r>
        <w:rPr>
          <w:color w:val="ff0000"/>
        </w:rPr>
        <w:t xml:space="preserve">ولو شيب ماء البحر بالدم لاغتدى</w:t>
      </w:r>
      <w:r>
        <w:rPr>
          <w:color w:val="ff0000"/>
        </w:rPr>
        <w:t xml:space="preserve">      </w:t>
      </w:r>
      <w:r>
        <w:rPr>
          <w:color w:val="ff0000"/>
        </w:rPr>
        <w:t xml:space="preserve">يفصل بين الماء بالرأي والدم</w:t>
      </w:r>
    </w:p>
    <w:p/>
    <w:p>
      <w:pPr/>
      <w:r>
        <w:rPr/>
        <w:t xml:space="preserve">فقال أبو بكر المبارك بن المبارك بن سعيد الواسطي النحوي: قوله لو شيب يجعل نفسه بالمرصاد لهذا ولو قال: لو أراد لفعل كذا، لكان أحسن، ثم قوله بين الماء والدم هما جنسان مختلفان، فقال شيخ الشيوخ عبد الرحيم: صدقت وإنما القول قول المتنبي:</w:t>
      </w:r>
    </w:p>
    <w:p/>
    <w:p>
      <w:pPr>
        <w:jc w:val="center"/>
      </w:pPr>
      <w:r>
        <w:rPr>
          <w:color w:val="ff0000"/>
        </w:rPr>
        <w:t xml:space="preserve">قاض إذا اشتبه الأمران عن له</w:t>
      </w:r>
      <w:r>
        <w:rPr>
          <w:color w:val="ff0000"/>
        </w:rPr>
        <w:t xml:space="preserve">      </w:t>
      </w:r>
      <w:r>
        <w:rPr>
          <w:color w:val="ff0000"/>
        </w:rPr>
        <w:t xml:space="preserve">رأي يفرق بين الماء واللبن</w:t>
      </w:r>
    </w:p>
    <w:p/>
    <w:p>
      <w:pPr/>
      <w:r>
        <w:rPr/>
        <w:t xml:space="preserve">فقال أبو بكر: هذا أحسن ولكن قال بين الماء واللبن وأنا أفصل بين الماء واللبن بأن أغمس فيه البردي ثم أعصره فلا يشرب إلا الماء ثم نظمت بيتين لم يلحق المتنبي غبارهما وهما:</w:t>
      </w:r>
    </w:p>
    <w:p/>
    <w:p>
      <w:pPr>
        <w:jc w:val="center"/>
      </w:pPr>
      <w:r>
        <w:rPr>
          <w:color w:val="ff0000"/>
        </w:rPr>
        <w:t xml:space="preserve">ولو وقعت في لجة البحر قطرة</w:t>
      </w:r>
      <w:r>
        <w:rPr>
          <w:color w:val="ff0000"/>
        </w:rPr>
        <w:t xml:space="preserve">      </w:t>
      </w:r>
      <w:r>
        <w:rPr>
          <w:color w:val="ff0000"/>
        </w:rPr>
        <w:t xml:space="preserve">من المزن يوما ثم لو شاء مازها</w:t>
      </w:r>
    </w:p>
    <w:p/>
    <w:p>
      <w:pPr>
        <w:jc w:val="center"/>
      </w:pPr>
      <w:r>
        <w:rPr>
          <w:color w:val="ff0000"/>
        </w:rPr>
        <w:t xml:space="preserve">ولو ملك الدنيا فأضحى ملوكها</w:t>
      </w:r>
      <w:r>
        <w:rPr>
          <w:color w:val="ff0000"/>
        </w:rPr>
        <w:t xml:space="preserve">      </w:t>
      </w:r>
      <w:r>
        <w:rPr>
          <w:color w:val="ff0000"/>
        </w:rPr>
        <w:t xml:space="preserve">عبيدا له في الشرق والغرب ما زها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w:t>
      </w:r>
    </w:p>
    <w:p>
      <w:pPr/>
      <w:r>
        <w:rPr/>
        <w:t xml:space="preserve">ابن القصاب الوزير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w:t>
      </w:r>
    </w:p>
    <w:p>
      <w:pPr/>
      <w:r>
        <w:rPr/>
        <w:t xml:space="preserve">ابن القصاب الوزير الكبير، مؤيد الدين، أبو الفضل محمد بن علي بن أحمد ابن القصاب، البغدادي.</w:t>
      </w:r>
    </w:p>
    <w:p/>
    <w:p>
      <w:pPr/>
      <w:r>
        <w:rPr/>
        <w:t xml:space="preserve">من رجال الدهر شهامة، وهيبة، وحزما، وغورا، ودهاء، مع النظم والنثر والبلاغة.</w:t>
      </w:r>
    </w:p>
    <w:p/>
    <w:p>
      <w:pPr/>
      <w:r>
        <w:rPr/>
        <w:t xml:space="preserve">ناب في الوزارة، وخدم في ديوان الإنشاء، وسار في العساكر، فافتتح همذان وأصبهان، وحاصر الري، ورجع، فولي الوزارة، وسار في جيش عظيم إلى همذان، فجاءه الموت في شعبان سنة اثنتين وتسعين وخمس مائة، وقد جاوز سبعين سنة. وكان أبوه قصابا عجميا بسوق الثلاثاء، ثم نبشه خوارزمشاه من قبره، وقطع به، وطاف به على رمح بخراسان.</w:t>
      </w:r>
    </w:p>
    <w:p>
      <w:pPr>
        <w:jc w:val="start"/>
        <w:bidi/>
      </w:pPr>
      <w:r>
        <w:rPr>
          <w:sz w:val="24"/>
          <w:szCs w:val="24"/>
          <w:b w:val="1"/>
          <w:bCs w:val="1"/>
          <w:rtl/>
        </w:rPr>
        <w:t xml:space="preserve">
سير أعلام النبلاء،(دار الحديث- القاهرة،2006،ط 0،ج 15،ص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2026-05-18T19:02:04+03:00</dcterms:created>
  <dcterms:modified xsi:type="dcterms:W3CDTF">2026-05-18T19:02:04+03:00</dcterms:modified>
</cp:coreProperties>
</file>

<file path=docProps/custom.xml><?xml version="1.0" encoding="utf-8"?>
<Properties xmlns="http://schemas.openxmlformats.org/officeDocument/2006/custom-properties" xmlns:vt="http://schemas.openxmlformats.org/officeDocument/2006/docPropsVTypes"/>
</file>