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الهادي
</w:t>
      </w:r>
    </w:p>
    <w:p>
      <w:pPr/>
      <w:r>
        <w:rPr/>
        <w:t xml:space="preserve">محمد عبد الهادي  محمد بن عبد الهادي بن محمد بن داود: فاضل، له (تنوير القلوب والبصائر -خ) في الخطب المنبرية، اوله: (الحمد لله الذي نور بصائر المؤمنين بانوار الهداية).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2026-05-18T23:04:51+03:00</dcterms:created>
  <dcterms:modified xsi:type="dcterms:W3CDTF">2026-05-18T23:04:51+03:00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