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ماما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ماما
</w:t>
      </w:r>
    </w:p>
    <w:p>
      <w:pPr/>
      <w:r>
        <w:rPr/>
        <w:t xml:space="preserve">ابن ماما أحمد بن محمد بن احيد (كأهيف) ابن عبد الله بن ماما، أبو حاكد: مؤرخ، من حفاظ الحديث. من أهل اصبهان. له ’’ذيل’’ على تاريخ بخارى لغنجار.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الماماي
</w:t>
      </w:r>
    </w:p>
    <w:p>
      <w:pPr/>
      <w:r>
        <w:rPr/>
        <w:t xml:space="preserve">الحافظ الماماي أحمد بن محمد بن أحيد بن ماما الحافظ أبو حامد الأصبهاني الماماي صاحب التصانيف، سكن بخارا وذيل على ’’تاريخ غنجار’’ وتوفي سنة خمس وثلاثين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ماما
</w:t>
      </w:r>
    </w:p>
    <w:p>
      <w:pPr/>
      <w:r>
        <w:rPr/>
        <w:t xml:space="preserve">ابن ماما الحافظ، صاحب التصانيف، أبو حامد، أحمد بن محمد بن أحيد ابن ماما، الأصبهاني المامائي.</w:t>
      </w:r>
    </w:p>
    <w:p/>
    <w:p>
      <w:pPr/>
      <w:r>
        <w:rPr/>
        <w:t xml:space="preserve">حدث عن: عبد الرحمن بن أبي شريح، وأبي علي إسماعيل بن حاجب الكشاني، وأبي نصر محمد بن أحمد الملاحمي، وأبي عبد الله الحليمي، وخلق كثير.</w:t>
      </w:r>
    </w:p>
    <w:p/>
    <w:p>
      <w:pPr/>
      <w:r>
        <w:rPr/>
        <w:t xml:space="preserve">ولم يقدم العراق، بل ارتحل إلى ما وراء النهر، ويعز وقوع حديثه إلينا، وقد ذيل على تاريخ بخارى لغنجار، لم تتصل بنا أحواله كما يجب.</w:t>
      </w:r>
    </w:p>
    <w:p/>
    <w:p>
      <w:pPr/>
      <w:r>
        <w:rPr/>
        <w:t xml:space="preserve">توفي في شعبان سنة ست وثلاثين وأربع مائة. وكان من أبناء السبعين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ماما
</w:t>
      </w:r>
    </w:p>
    <w:p>
      <w:pPr/>
      <w:r>
        <w:rPr/>
        <w:t xml:space="preserve">ابن ماما </w:t>
      </w:r>
    </w:p>
    <w:p/>
    <w:p>
      <w:pPr/>
      <w:r>
        <w:rPr/>
        <w:t xml:space="preserve">الحافظ الأوحد</w:t>
      </w:r>
    </w:p>
    <w:p/>
    <w:p>
      <w:pPr/>
      <w:r>
        <w:rPr/>
        <w:t xml:space="preserve">حدث عن عبد الله بن أبي شريح والطبقة</w:t>
      </w:r>
    </w:p>
    <w:p/>
    <w:p>
      <w:pPr/>
      <w:r>
        <w:rPr/>
        <w:t xml:space="preserve">وله بصر بالحديث وتصانيف منها ذيل على تاريخ بخاري لغنجار مات في شعبان سنة ست وثلاثين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ماما
</w:t>
      </w:r>
    </w:p>
    <w:p>
      <w:pPr/>
      <w:r>
        <w:rPr/>
        <w:t xml:space="preserve">ابن ماما </w:t>
      </w:r>
    </w:p>
    <w:p/>
    <w:p>
      <w:pPr/>
      <w:r>
        <w:rPr/>
        <w:t xml:space="preserve">الحافظ، أبو حامد، أحمد بن محمد بن أحيد بن ماما، الأصبهاني، صاحب تصانيف وبصرٍ بالحديث.</w:t>
      </w:r>
    </w:p>
    <w:p/>
    <w:p>
      <w:pPr/>
      <w:r>
        <w:rPr/>
        <w:t xml:space="preserve">روى عن: عبد الرحمن بن أبي شريح الهروي، وأبي علي</w:t>
      </w:r>
    </w:p>
    <w:p/>
    <w:p>
      <w:pPr/>
      <w:r>
        <w:rPr/>
        <w:t xml:space="preserve">إسماعيل بن حاجب الكشاني، وأبي نصر محمد بن أحمد الملاحمي، وأبي عبد الله الحليمي، وطبقتهم.</w:t>
      </w:r>
    </w:p>
    <w:p/>
    <w:p>
      <w:pPr/>
      <w:r>
        <w:rPr/>
        <w:t xml:space="preserve">ولم يصل إلى العراق، وله ذيل على ’’تاريخ بخارى’’ لغنجار.</w:t>
      </w:r>
    </w:p>
    <w:p/>
    <w:p>
      <w:pPr/>
      <w:r>
        <w:rPr/>
        <w:t xml:space="preserve">مات في شعبان سنة ست وثلاثين وأربع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2026-07-04T06:00:17+03:00</dcterms:created>
  <dcterms:modified xsi:type="dcterms:W3CDTF">2026-07-04T06:00:17+03:00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