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اللطيف
</w:t>
      </w:r>
    </w:p>
    <w:p>
      <w:pPr>
        <w:jc w:val="start"/>
        <w:bidi/>
      </w:pPr>
      <w:r>
        <w:rPr>
          <w:rFonts w:ascii="arial" w:hAnsi="arial" w:eastAsia="arial" w:cs="arial"/>
          <w:sz w:val="28"/>
          <w:szCs w:val="28"/>
          <w:b w:val="1"/>
          <w:bCs w:val="1"/>
          <w:rtl/>
        </w:rPr>
        <w:t xml:space="preserve">ابن عبد اللطيف
</w:t>
      </w:r>
    </w:p>
    <w:p>
      <w:pPr/>
      <w:r>
        <w:rPr/>
        <w:t xml:space="preserve">ابن عبد اللطيف  محمد بن عبد اللطيف بن عبد الرحمن بن حسن ابن الشيخ محمد بن عبد الوهاب : فقيه حنبلي، من علماء (آل الشيخ) بنجد. مولده ووفاته في الرياض. تفقه بها، ورحل إلى عمان وقطر. ثم إلى اليمن. وعينه الملك عبد العزيز بن عبد الرحمن قاضيا لشقرى (بنجد) فأقام بها مدة طويلة. ونقله إلى الرياض فاشتغل بنشر العلم. وجمع مكتبة كبيرة احتوت على جملة من النفائس. له رسائل في الدعوة إلى التوحيد ونصائح الاخوان أهل البادية، منها (الدعوة إلى حقيقة الدين - ط). </w:t>
      </w:r>
    </w:p>
    <w:p>
      <w:pPr>
        <w:jc w:val="start"/>
        <w:bidi/>
      </w:pPr>
      <w:r>
        <w:rPr>
          <w:sz w:val="24"/>
          <w:szCs w:val="24"/>
          <w:b w:val="1"/>
          <w:bCs w:val="1"/>
          <w:rtl/>
        </w:rPr>
        <w:t xml:space="preserve">
الأعلام،(دار العلم للملايين - بيروت،2002،ط 15،ج 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2026-05-19T06:58:18+03:00</dcterms:created>
  <dcterms:modified xsi:type="dcterms:W3CDTF">2026-05-19T06:58:18+03:00</dcterms:modified>
</cp:coreProperties>
</file>

<file path=docProps/custom.xml><?xml version="1.0" encoding="utf-8"?>
<Properties xmlns="http://schemas.openxmlformats.org/officeDocument/2006/custom-properties" xmlns:vt="http://schemas.openxmlformats.org/officeDocument/2006/docPropsVTypes"/>
</file>