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المغيلي
</w:t>
      </w:r>
    </w:p>
    <w:p>
      <w:pPr>
        <w:jc w:val="start"/>
        <w:bidi/>
      </w:pPr>
      <w:r>
        <w:rPr>
          <w:rFonts w:ascii="arial" w:hAnsi="arial" w:eastAsia="arial" w:cs="arial"/>
          <w:sz w:val="28"/>
          <w:szCs w:val="28"/>
          <w:b w:val="1"/>
          <w:bCs w:val="1"/>
          <w:rtl/>
        </w:rPr>
        <w:t xml:space="preserve">المغيلي
</w:t>
      </w:r>
    </w:p>
    <w:p>
      <w:pPr/>
      <w:r>
        <w:rPr/>
        <w:t xml:space="preserve">المغيلي  محمد بن عبد الكريم بن محمد المغيلي التلمساني: مفسر، فقيه، من أهل تلمسان. اشتهر بمناوأته لليهود وهدمه كنائسهم في توات (بقرب تلمسان) ورجل إلى السودان وبلاد التكرور، لنشر احكام الشرع وقواعده. وتوفي في توات. له كتب، منها (البدر المنير في علوم التفسير) و (التعريف، فيما يجب على الملوك -خ) و (احكام أهل الذمة -خ) و (شرح مختصر خليل) في فقيه المالكية، و (مفتاح النظر) في علم الحديث، و (منح الوهاب) منظومة في المنطق. وله نظم، منه قصيدة عارض بها البردة. </w:t>
      </w:r>
    </w:p>
    <w:p>
      <w:pPr>
        <w:jc w:val="start"/>
        <w:bidi/>
      </w:pPr>
      <w:r>
        <w:rPr>
          <w:sz w:val="24"/>
          <w:szCs w:val="24"/>
          <w:b w:val="1"/>
          <w:bCs w:val="1"/>
          <w:rtl/>
        </w:rPr>
        <w:t xml:space="preserve">
الأعلام،(دار العلم للملايين - بيروت،2002،ط 15،ج 6،ص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2026-05-19T06:54:49+03:00</dcterms:created>
  <dcterms:modified xsi:type="dcterms:W3CDTF">2026-05-19T06:54:49+03:00</dcterms:modified>
</cp:coreProperties>
</file>

<file path=docProps/custom.xml><?xml version="1.0" encoding="utf-8"?>
<Properties xmlns="http://schemas.openxmlformats.org/officeDocument/2006/custom-properties" xmlns:vt="http://schemas.openxmlformats.org/officeDocument/2006/docPropsVTypes"/>
</file>