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البتروني
</w:t>
      </w:r>
    </w:p>
    <w:p>
      <w:pPr>
        <w:jc w:val="start"/>
        <w:bidi/>
      </w:pPr>
      <w:r>
        <w:rPr>
          <w:rFonts w:ascii="arial" w:hAnsi="arial" w:eastAsia="arial" w:cs="arial"/>
          <w:sz w:val="28"/>
          <w:szCs w:val="28"/>
          <w:b w:val="1"/>
          <w:bCs w:val="1"/>
          <w:rtl/>
        </w:rPr>
        <w:t xml:space="preserve">البتروني
</w:t>
      </w:r>
    </w:p>
    <w:p>
      <w:pPr/>
      <w:r>
        <w:rPr/>
        <w:t xml:space="preserve">البتروني  محمد (أبو اليمن) بن عبد الرحمن ابن محمد بن عبد السلام بن أحمد البتروني : مفتي الحنفية بحلب. انتقل إليها أبوه من البترون (قرب طرابلس الشام) سنة 964، وولد بها صاحب الترجمة وتعلم وصار صدر البلاد الحلبية ومفتيا ومدرسا في مدرسة خسرو باشا (بحلب) في حدود سنة 1036 وألف كتبا، منها (الفجر الطالع - ط) تصوف، و (الدر المنتخب في تاريخ مملكة حلب - ط) قال سركيس : وقد نسب خطأ لابي الفضل ابن الشحنة، و (نبذة منتخبة من كتاب نزهة النواظر في روض المناظر - خ) في الظاهرية (الرقم 8813) توفي بحلب. </w:t>
      </w:r>
    </w:p>
    <w:p>
      <w:pPr>
        <w:jc w:val="start"/>
        <w:bidi/>
      </w:pPr>
      <w:r>
        <w:rPr>
          <w:sz w:val="24"/>
          <w:szCs w:val="24"/>
          <w:b w:val="1"/>
          <w:bCs w:val="1"/>
          <w:rtl/>
        </w:rPr>
        <w:t xml:space="preserve">
الأعلام،(دار العلم للملايين - بيروت،2002،ط 15،ج 6،ص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2026-05-19T09:53:13+03:00</dcterms:created>
  <dcterms:modified xsi:type="dcterms:W3CDTF">2026-05-19T09:53:13+03:00</dcterms:modified>
</cp:coreProperties>
</file>

<file path=docProps/custom.xml><?xml version="1.0" encoding="utf-8"?>
<Properties xmlns="http://schemas.openxmlformats.org/officeDocument/2006/custom-properties" xmlns:vt="http://schemas.openxmlformats.org/officeDocument/2006/docPropsVTypes"/>
</file>