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w:t>
      </w:r>
    </w:p>
    <w:p>
      <w:pPr>
        <w:jc w:val="start"/>
        <w:bidi/>
      </w:pPr>
      <w:r>
        <w:rPr>
          <w:rFonts w:ascii="arial" w:hAnsi="arial" w:eastAsia="arial" w:cs="arial"/>
          <w:sz w:val="28"/>
          <w:szCs w:val="28"/>
          <w:b w:val="1"/>
          <w:bCs w:val="1"/>
          <w:rtl/>
        </w:rPr>
        <w:t xml:space="preserve">الحضرمي
</w:t>
      </w:r>
    </w:p>
    <w:p>
      <w:pPr/>
      <w:r>
        <w:rPr/>
        <w:t xml:space="preserve">الحضرمي  محمد بن عبد الرحمن بن سراج الدين الحضري، جمال الدين: فاضل، من فقهاء الشافعية. له اشتغال بالادب. من أهل (الغرفة) بحضرموت. ولي القضاء في تريم والشحر وشبام والغرفة. وتوفي ببلده. له كتاب في ترجمة الشيخ ابي بكر بن سالم، ختمه بتراج بعض الاعيان، قال: من شاء ان يفردها فليسمها (الدر الفاخر في تراجم اعيان القرن العاشر). وكتاب في (الفقه) صغير، مواهب البر الرؤوف في مناقب الشيخ عبد الله بن معروف - خ) بمكتبة الحبشي بالغرفة (حضرموت) و (الحصون الاكيدة للمملكة السعيدة - خ) في مكتبة البار، بالقرين، بدو عن (اليمن) 20 ورقة ألفه للسلطان الكثيري في أصول السياسية. </w:t>
      </w:r>
    </w:p>
    <w:p>
      <w:pPr>
        <w:jc w:val="start"/>
        <w:bidi/>
      </w:pPr>
      <w:r>
        <w:rPr>
          <w:sz w:val="24"/>
          <w:szCs w:val="24"/>
          <w:b w:val="1"/>
          <w:bCs w:val="1"/>
          <w:rtl/>
        </w:rPr>
        <w:t xml:space="preserve">
الأعلام،(دار العلم للملايين - بيروت،2002،ط 15،ج 6،ص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2026-05-19T09:57:37+03:00</dcterms:created>
  <dcterms:modified xsi:type="dcterms:W3CDTF">2026-05-19T09:57:37+03:00</dcterms:modified>
</cp:coreProperties>
</file>

<file path=docProps/custom.xml><?xml version="1.0" encoding="utf-8"?>
<Properties xmlns="http://schemas.openxmlformats.org/officeDocument/2006/custom-properties" xmlns:vt="http://schemas.openxmlformats.org/officeDocument/2006/docPropsVTypes"/>
</file>