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العماد
</w:t>
      </w:r>
    </w:p>
    <w:p>
      <w:pPr>
        <w:jc w:val="start"/>
        <w:bidi/>
      </w:pPr>
      <w:r>
        <w:rPr>
          <w:rFonts w:ascii="arial" w:hAnsi="arial" w:eastAsia="arial" w:cs="arial"/>
          <w:sz w:val="28"/>
          <w:szCs w:val="28"/>
          <w:b w:val="1"/>
          <w:bCs w:val="1"/>
          <w:rtl/>
        </w:rPr>
        <w:t xml:space="preserve">ابن العماد
</w:t>
      </w:r>
    </w:p>
    <w:p>
      <w:pPr/>
      <w:r>
        <w:rPr/>
        <w:t xml:space="preserve">ابن العماد  محمد بن عبد الرحمن بن الخضر بن محمد ابن العماد، ويقال له ابن بريطع، المصري الصالحي الحنفي، حسام الدين: قاض، فقيه اديب، ينعت بقاضي القضاة. من ذرية العماد الكاتب. قال السخاوي: ولذا يكتب بخطه: (ابن العماد). اصله من مصر، ومولده بغزة، ووفات بدمشق. ولي قضاء صفد، ثم اضيف اليه نظر جيشها، ثم قضاء طرابلس، فدمشق مرارا اولها سنة 851 وكتب بخطه كثيرا كالصحيحين والاستيعاب والكشاف وغير ذلك مما يزيد على مثله مجلد، وحطه جيد. وله عدة تصتنيف، منها (منظومة في الفقه). </w:t>
      </w:r>
    </w:p>
    <w:p>
      <w:pPr>
        <w:jc w:val="start"/>
        <w:bidi/>
      </w:pPr>
      <w:r>
        <w:rPr>
          <w:sz w:val="24"/>
          <w:szCs w:val="24"/>
          <w:b w:val="1"/>
          <w:bCs w:val="1"/>
          <w:rtl/>
        </w:rPr>
        <w:t xml:space="preserve">
الأعلام،(دار العلم للملايين - بيروت،2002،ط 15،ج 6،ص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2026-05-19T09:53:43+03:00</dcterms:created>
  <dcterms:modified xsi:type="dcterms:W3CDTF">2026-05-19T09:53:43+03:00</dcterms:modified>
</cp:coreProperties>
</file>

<file path=docProps/custom.xml><?xml version="1.0" encoding="utf-8"?>
<Properties xmlns="http://schemas.openxmlformats.org/officeDocument/2006/custom-properties" xmlns:vt="http://schemas.openxmlformats.org/officeDocument/2006/docPropsVTypes"/>
</file>