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القاياتي
</w:t>
      </w:r>
    </w:p>
    <w:p>
      <w:pPr>
        <w:jc w:val="start"/>
        <w:bidi/>
      </w:pPr>
      <w:r>
        <w:rPr>
          <w:rFonts w:ascii="arial" w:hAnsi="arial" w:eastAsia="arial" w:cs="arial"/>
          <w:sz w:val="28"/>
          <w:szCs w:val="28"/>
          <w:b w:val="1"/>
          <w:bCs w:val="1"/>
          <w:rtl/>
        </w:rPr>
        <w:t xml:space="preserve">القاياتي
</w:t>
      </w:r>
    </w:p>
    <w:p>
      <w:pPr/>
      <w:r>
        <w:rPr/>
        <w:t xml:space="preserve">القاياتي  محمد بن عبد الجواد القاياتي: فاضل مصري. كان ممن ناصر (الثورة العرابية) واعتقل، وحبس بسجن مديرية المنيا (بالصعيد) ثم صدر الامر بابعاده من مصر، فتوجه إلى بلاد الشام (سنة 1300هـ) ومكث إلى اوخر 1303 وعاد، فسكن القاهرة. وتوفي ببلده (القايات) في الصعيد. له (نفحة البشام في رحلة الشام -ط) و (غاية النشر في المقولات العشر -ط) نظم، و (خلاصة التحقيق في افضلية الصديق -ط) رسالة، و (السنة والكتاب في التربية والحجاب -ط) و (وسيلة الوصول في الفقه ولترحيد والاصول -ط) في فقه الشافعية. </w:t>
      </w:r>
    </w:p>
    <w:p>
      <w:pPr>
        <w:jc w:val="start"/>
        <w:bidi/>
      </w:pPr>
      <w:r>
        <w:rPr>
          <w:sz w:val="24"/>
          <w:szCs w:val="24"/>
          <w:b w:val="1"/>
          <w:bCs w:val="1"/>
          <w:rtl/>
        </w:rPr>
        <w:t xml:space="preserve">
الأعلام،(دار العلم للملايين - بيروت،2002،ط 15،ج 6،ص 185)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2026-05-19T11:42:05+03:00</dcterms:created>
  <dcterms:modified xsi:type="dcterms:W3CDTF">2026-05-19T11:42:05+03:00</dcterms:modified>
</cp:coreProperties>
</file>

<file path=docProps/custom.xml><?xml version="1.0" encoding="utf-8"?>
<Properties xmlns="http://schemas.openxmlformats.org/officeDocument/2006/custom-properties" xmlns:vt="http://schemas.openxmlformats.org/officeDocument/2006/docPropsVTypes"/>
</file>