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ثوابة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ثوابة
</w:t>
      </w:r>
    </w:p>
    <w:p>
      <w:pPr/>
      <w:r>
        <w:rPr/>
        <w:t xml:space="preserve">ابن ثوابة  أحمد بن محمد بن ثوابة: من كبار المنشئين في العصر العباسي. كان كاتب ديوان الرسائل لمعز الدولة (أحمد بن بويه) قبل أن يليه إبراهيم الصابئ.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ثوابة الكاتب
</w:t>
      </w:r>
    </w:p>
    <w:p>
      <w:pPr/>
      <w:r>
        <w:rPr/>
        <w:t xml:space="preserve">ابن ثوابة الكاتب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2026-07-04T04:48:32+03:00</dcterms:created>
  <dcterms:modified xsi:type="dcterms:W3CDTF">2026-07-04T04:48:32+03:00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