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عاشور
</w:t>
      </w:r>
    </w:p>
    <w:p>
      <w:pPr>
        <w:jc w:val="start"/>
        <w:bidi/>
      </w:pPr>
      <w:r>
        <w:rPr>
          <w:rFonts w:ascii="arial" w:hAnsi="arial" w:eastAsia="arial" w:cs="arial"/>
          <w:sz w:val="28"/>
          <w:szCs w:val="28"/>
          <w:b w:val="1"/>
          <w:bCs w:val="1"/>
          <w:rtl/>
        </w:rPr>
        <w:t xml:space="preserve">ابن عاشور
</w:t>
      </w:r>
    </w:p>
    <w:p>
      <w:pPr/>
      <w:r>
        <w:rPr/>
        <w:t xml:space="preserve">ابن عاشور  محمد الطاهر بن عاشور : رئيس المفتين المالكيين بتونس وشيخ جامع الزيتونة وفروعه بتونس. مولده ووفاته ودراسته بها. عين (عام 1932) شيخا للاسلام مالكيا. وهو من أعضاء المجمعين العربيين في دمشق والقاهرة. له مصنفات مطبوعة، من أشهرها (مقاصد الشريعة الاسلامية) و (أصول النظام الاجتماعي في الاسلام) و (التحرير والتنوير) في تفسير القرآن، صدر منه عشرة أجزاء، و (الوقف وآثاره في الاسلام) و (أصول الانشاء والخطابة) و (موجز البلاغة) ومما عني بتحقيقه ونشره (ديوان بشار بن برد) أربعة أجزاء. وكتب كثيرا في المجلات. وهو والد محمد الفاضل الآتية ترجمته. </w:t>
      </w:r>
    </w:p>
    <w:p>
      <w:pPr>
        <w:jc w:val="start"/>
        <w:bidi/>
      </w:pPr>
      <w:r>
        <w:rPr>
          <w:sz w:val="24"/>
          <w:szCs w:val="24"/>
          <w:b w:val="1"/>
          <w:bCs w:val="1"/>
          <w:rtl/>
        </w:rPr>
        <w:t xml:space="preserve">
الأعلام،(دار العلم للملايين - بيروت،2002،ط 15،ج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2026-05-19T14:00:19+03:00</dcterms:created>
  <dcterms:modified xsi:type="dcterms:W3CDTF">2026-05-19T14:00:19+03:00</dcterms:modified>
</cp:coreProperties>
</file>

<file path=docProps/custom.xml><?xml version="1.0" encoding="utf-8"?>
<Properties xmlns="http://schemas.openxmlformats.org/officeDocument/2006/custom-properties" xmlns:vt="http://schemas.openxmlformats.org/officeDocument/2006/docPropsVTypes"/>
</file>