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عاشور
</w:t>
      </w:r>
    </w:p>
    <w:p>
      <w:pPr>
        <w:jc w:val="start"/>
        <w:bidi/>
      </w:pPr>
      <w:r>
        <w:rPr>
          <w:rFonts w:ascii="arial" w:hAnsi="arial" w:eastAsia="arial" w:cs="arial"/>
          <w:sz w:val="28"/>
          <w:szCs w:val="28"/>
          <w:b w:val="1"/>
          <w:bCs w:val="1"/>
          <w:rtl/>
        </w:rPr>
        <w:t xml:space="preserve">ابن عاشور
</w:t>
      </w:r>
    </w:p>
    <w:p>
      <w:pPr/>
      <w:r>
        <w:rPr/>
        <w:t xml:space="preserve">ابن عاشور  محمد الطاهر بن محمد الشاذلي بن عبد القادر بن محمد بن عاشور: نقيب اشراف تونس وكبير علمائها، في عهد الباي محمد الصادق (باشا) ولي قضاءها سنة 1267هـ ، ثم الفتيا (سنة 1277) فنقابة الاشراف. وتوفي بتونس. له كتب، منها (شفاء القلب الاريب -ط) في شرح البردة، و (هدية الاريب -ط) حاشية على القطر لابن هشام، في النحو، و (الغيث الافريقي -خ) حاشية على عبد الحكيم على المطول، غير تامة، ومثلها (حاشية على المحلي على جمع الجوامع) و (حاشية على ابن سعيد على الاشموني) و (حاشية على شرح العصام لرسالة ليان). واورد له النيفر (في عنوان الاريب) نظما حسنا. </w:t>
      </w:r>
    </w:p>
    <w:p>
      <w:pPr>
        <w:jc w:val="start"/>
        <w:bidi/>
      </w:pPr>
      <w:r>
        <w:rPr>
          <w:sz w:val="24"/>
          <w:szCs w:val="24"/>
          <w:b w:val="1"/>
          <w:bCs w:val="1"/>
          <w:rtl/>
        </w:rPr>
        <w:t xml:space="preserve">
الأعلام،(دار العلم للملايين - بيروت،2002،ط 15،ج 6،ص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عاشور
</w:t>
      </w:r>
    </w:p>
    <w:p>
      <w:pPr/>
      <w:r>
        <w:rPr/>
        <w:t xml:space="preserve">ابن عاشور  محمد بن محمد الشاذلي بن عبد القادر بن محمد بن عاشور المعروف بحمدة، من بيت علم وشرف وصلاح اشتهر في عصر البايات الحسينيين بتونس، الفقيه، الأصولي، درس بجامع الزيتونة، وبزاوية جدة بباب المنارة، وتخرج به جماعة منهم أخوه محمد الطاهر الآتية ترجمته. توفي في 26 صفر 1265/ 21 جانفي 1849.له حاشية على شرح المحلي لجمع الجوامع للسبكي في أصول الفقه.</w:t>
      </w:r>
    </w:p>
    <w:p/>
    <w:p>
      <w:pPr/>
      <w:r>
        <w:rPr/>
        <w:t xml:space="preserve">المصادر والمراجع:</w:t>
      </w:r>
    </w:p>
    <w:p/>
    <w:p>
      <w:pPr/>
      <w:r>
        <w:rPr/>
        <w:t xml:space="preserve">- اتحاف أهل الزمان 8/ 70، شجرة النور الزكية 392 عرضا في ترجمة أخيه محمد الطاهر، واقتصر على ذكر وفاته.</w:t>
      </w:r>
    </w:p>
    <w:p>
      <w:pPr>
        <w:jc w:val="start"/>
        <w:bidi/>
      </w:pPr>
      <w:r>
        <w:rPr>
          <w:sz w:val="24"/>
          <w:szCs w:val="24"/>
          <w:b w:val="1"/>
          <w:bCs w:val="1"/>
          <w:rtl/>
        </w:rPr>
        <w:t xml:space="preserve">
تراجم المؤلفين التونسيين،(دار الغرب الإسلامي، بيروت - لبنان،1994،ط 2،ج 3،ص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2026-05-19T14:06:58+03:00</dcterms:created>
  <dcterms:modified xsi:type="dcterms:W3CDTF">2026-05-19T14:06:58+03:00</dcterms:modified>
</cp:coreProperties>
</file>

<file path=docProps/custom.xml><?xml version="1.0" encoding="utf-8"?>
<Properties xmlns="http://schemas.openxmlformats.org/officeDocument/2006/custom-properties" xmlns:vt="http://schemas.openxmlformats.org/officeDocument/2006/docPropsVTypes"/>
</file>