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دياب
</w:t>
      </w:r>
    </w:p>
    <w:p>
      <w:pPr>
        <w:jc w:val="start"/>
        <w:bidi/>
      </w:pPr>
      <w:r>
        <w:rPr>
          <w:rFonts w:ascii="arial" w:hAnsi="arial" w:eastAsia="arial" w:cs="arial"/>
          <w:sz w:val="28"/>
          <w:szCs w:val="28"/>
          <w:b w:val="1"/>
          <w:bCs w:val="1"/>
          <w:rtl/>
        </w:rPr>
        <w:t xml:space="preserve">محمد دياب
</w:t>
      </w:r>
    </w:p>
    <w:p>
      <w:pPr/>
      <w:r>
        <w:rPr/>
        <w:t xml:space="preserve">محمد دياب  محمد دياب (بك) : باحث، من رجال العلم والتعليم بمصر. ولد في منوف، وتعلم في الازهر ودار العلوم. واختير معلما فمفتشا في ديوان المعارف. وتوفي بالقاهرة. له تآليف، اكثرها مدرسي، منها (النخبة السنية في الاصول الحسابية –ط) جزآن، و (خلاصة تاريخ مصر القديم والحديث –ط) و (المسائل التطبيقية على الهندسة العادية-ط) و (تاريخ العرب في اسبانيا –ط) الجزء الاول، و (معجم الالفاظ الحديثة –ط) و (الانشاء النظري –ط) و (قلائد الذهب في فصيح لغة العرب –ط) الاول منه. وشارك في تأليف كتب مدرسية، منها (الدروس النحوية –ط) و (دروس البلاغة –ط) و (قواعد اللغة العربية-ط). </w:t>
      </w:r>
    </w:p>
    <w:p>
      <w:pPr>
        <w:jc w:val="start"/>
        <w:bidi/>
      </w:pPr>
      <w:r>
        <w:rPr>
          <w:sz w:val="24"/>
          <w:szCs w:val="24"/>
          <w:b w:val="1"/>
          <w:bCs w:val="1"/>
          <w:rtl/>
        </w:rPr>
        <w:t xml:space="preserve">
الأعلام،(دار العلم للملايين - بيروت،2002،ط 15،ج 6،ص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2026-05-09T10:40:04+03:00</dcterms:created>
  <dcterms:modified xsi:type="dcterms:W3CDTF">2026-05-09T10:40:04+03:00</dcterms:modified>
</cp:coreProperties>
</file>

<file path=docProps/custom.xml><?xml version="1.0" encoding="utf-8"?>
<Properties xmlns="http://schemas.openxmlformats.org/officeDocument/2006/custom-properties" xmlns:vt="http://schemas.openxmlformats.org/officeDocument/2006/docPropsVTypes"/>
</file>