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حياة
</w:t>
      </w:r>
    </w:p>
    <w:p>
      <w:pPr>
        <w:jc w:val="start"/>
        <w:bidi/>
      </w:pPr>
      <w:r>
        <w:rPr>
          <w:rFonts w:ascii="arial" w:hAnsi="arial" w:eastAsia="arial" w:cs="arial"/>
          <w:sz w:val="28"/>
          <w:szCs w:val="28"/>
          <w:b w:val="1"/>
          <w:bCs w:val="1"/>
          <w:rtl/>
        </w:rPr>
        <w:t xml:space="preserve">محمد حياة
</w:t>
      </w:r>
    </w:p>
    <w:p>
      <w:pPr/>
      <w:r>
        <w:rPr/>
        <w:t xml:space="preserve">محمد حياة  محمد بن حياة بن ابراهيم السندي المدني: عالم بالحديث. مولده في السند، واقامته ووفاته في المدينة المنورة. له ’’شرح الترغيب والترهيب للمنذري’’ و’’مقدمة في العقائد –خ’’ و’’تحفة المحبين –خ’’ في شرح الأربعين النووية، و’’ شرح الحكم العطائية –خ’’ وغير ذلك. </w:t>
      </w:r>
    </w:p>
    <w:p>
      <w:pPr>
        <w:jc w:val="start"/>
        <w:bidi/>
      </w:pPr>
      <w:r>
        <w:rPr>
          <w:sz w:val="24"/>
          <w:szCs w:val="24"/>
          <w:b w:val="1"/>
          <w:bCs w:val="1"/>
          <w:rtl/>
        </w:rPr>
        <w:t xml:space="preserve">
الأعلام،(دار العلم للملايين - بيروت،2002،ط 15،ج 6،ص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2026-05-09T08:29:51+03:00</dcterms:created>
  <dcterms:modified xsi:type="dcterms:W3CDTF">2026-05-09T08:29:51+03:00</dcterms:modified>
</cp:coreProperties>
</file>

<file path=docProps/custom.xml><?xml version="1.0" encoding="utf-8"?>
<Properties xmlns="http://schemas.openxmlformats.org/officeDocument/2006/custom-properties" xmlns:vt="http://schemas.openxmlformats.org/officeDocument/2006/docPropsVTypes"/>
</file>