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القزويني
</w:t>
      </w:r>
    </w:p>
    <w:p>
      <w:pPr>
        <w:jc w:val="start"/>
        <w:bidi/>
      </w:pPr>
      <w:r>
        <w:rPr>
          <w:rFonts w:ascii="arial" w:hAnsi="arial" w:eastAsia="arial" w:cs="arial"/>
          <w:sz w:val="28"/>
          <w:szCs w:val="28"/>
          <w:b w:val="1"/>
          <w:bCs w:val="1"/>
          <w:rtl/>
        </w:rPr>
        <w:t xml:space="preserve">القزويني
</w:t>
      </w:r>
    </w:p>
    <w:p>
      <w:pPr/>
      <w:r>
        <w:rPr/>
        <w:t xml:space="preserve">القزويني  محمد الحسيني بن محمد مهدي أبو المعز القزويني : أديب من فقهاء الامامية. ولد في مدينة الحلة، وتفقه وتأدب في النجف. وعاد إلى الحلة (1313 ه‍) فكان صدرها علما ووجاهة. وتوفي بها. وكانت بينه وبين معروف الرصافي ومصطفى الواعظ وجعفر الحلي وغيرهم، مساجلات ومطارحات. وألف عدة رسائل ما زالت مخطوطة في الحلة، منها (رسالة في التجويد والقراآت) و (رسالة في مناسك الحج) و (طروس الانشاء وسطور الاملاء) مراسلات وتقريظات. وكتب رسائل بطريقة (البند) الذي شاع في عصره بالعراق وهو يشبه ما يسمى اليوم بالشعر الحر (لا وزن ولا قافية). </w:t>
      </w:r>
    </w:p>
    <w:p>
      <w:pPr>
        <w:jc w:val="start"/>
        <w:bidi/>
      </w:pPr>
      <w:r>
        <w:rPr>
          <w:sz w:val="24"/>
          <w:szCs w:val="24"/>
          <w:b w:val="1"/>
          <w:bCs w:val="1"/>
          <w:rtl/>
        </w:rPr>
        <w:t xml:space="preserve">
الأعلام،(دار العلم للملايين - بيروت،2002،ط 15،ج 6،ص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2026-05-09T07:47:34+03:00</dcterms:created>
  <dcterms:modified xsi:type="dcterms:W3CDTF">2026-05-09T07:47:34+03:00</dcterms:modified>
</cp:coreProperties>
</file>

<file path=docProps/custom.xml><?xml version="1.0" encoding="utf-8"?>
<Properties xmlns="http://schemas.openxmlformats.org/officeDocument/2006/custom-properties" xmlns:vt="http://schemas.openxmlformats.org/officeDocument/2006/docPropsVTypes"/>
</file>