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عين الملك
</w:t>
      </w:r>
    </w:p>
    <w:p>
      <w:pPr>
        <w:jc w:val="start"/>
        <w:bidi/>
      </w:pPr>
      <w:r>
        <w:rPr>
          <w:rFonts w:ascii="arial" w:hAnsi="arial" w:eastAsia="arial" w:cs="arial"/>
          <w:sz w:val="28"/>
          <w:szCs w:val="28"/>
          <w:b w:val="1"/>
          <w:bCs w:val="1"/>
          <w:rtl/>
        </w:rPr>
        <w:t xml:space="preserve">ابن عين الملك
</w:t>
      </w:r>
    </w:p>
    <w:p>
      <w:pPr/>
      <w:r>
        <w:rPr/>
        <w:t xml:space="preserve">ابن عين الملك  محمد بن حسين بن محمد، المعروف بابن عين الملك، ويقال له القاف وهو الغراب في لغة أهل الشام: من شعراء النفحة. دمشقي. ولى نيابات المحاكم في الصالحية والميدان وجبة عسال (من احياء دمشق) وسافر إلى القسطنطينية وولى القضاء بحمص. وسكن طرابلس، وناب فيها عن احد القضاة فرجم ذلك القاضي بالحجارة، وفر صاحب الترجمة عائدا إلى دمشق، وتوفي بها. وكان غريب الزي اسود اللون هجاءا، لا يكاد يسلم من لسانه احد. جمع (ديوانين) من شعره، احدهما للمدح، وسمى الثاني (بئس المصير) قال المحبي في وصف شعره: كأنه منحوت من صخر، او غابة ليس فيها زهر. واورد نموذجا منه. </w:t>
      </w:r>
    </w:p>
    <w:p>
      <w:pPr>
        <w:jc w:val="start"/>
        <w:bidi/>
      </w:pPr>
      <w:r>
        <w:rPr>
          <w:sz w:val="24"/>
          <w:szCs w:val="24"/>
          <w:b w:val="1"/>
          <w:bCs w:val="1"/>
          <w:rtl/>
        </w:rPr>
        <w:t xml:space="preserve">
الأعلام،(دار العلم للملايين - بيروت،2002،ط 15،ج 6،ص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2026-05-06T17:24:19+03:00</dcterms:created>
  <dcterms:modified xsi:type="dcterms:W3CDTF">2026-05-06T17:24:19+03:00</dcterms:modified>
</cp:coreProperties>
</file>

<file path=docProps/custom.xml><?xml version="1.0" encoding="utf-8"?>
<Properties xmlns="http://schemas.openxmlformats.org/officeDocument/2006/custom-properties" xmlns:vt="http://schemas.openxmlformats.org/officeDocument/2006/docPropsVTypes"/>
</file>